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FF533A6" w:rsidR="00D6147A" w:rsidRDefault="00E20798" w:rsidP="00E20798">
      <w:hyperlink r:id="rId6" w:history="1">
        <w:r w:rsidRPr="00760EF0">
          <w:rPr>
            <w:rStyle w:val="Collegamentoipertestuale"/>
          </w:rPr>
          <w:t>https://www.borsaitaliana.it/borsa/notizie/radiocor/finanza/dettaglio/banche-grospietro-italia-mercato-piu--vivace-e-aperto-a-concorrenza-nRC_15022025_1132_218119915.html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0177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4650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0C7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2B2E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0798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anche-grospietro-italia-mercato-piu--vivace-e-aperto-a-concorrenza-nRC_15022025_1132_2181199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5</cp:revision>
  <dcterms:created xsi:type="dcterms:W3CDTF">2025-02-19T14:36:00Z</dcterms:created>
  <dcterms:modified xsi:type="dcterms:W3CDTF">2025-02-19T14:45:00Z</dcterms:modified>
</cp:coreProperties>
</file>